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C021" w14:textId="0313AEEA" w:rsidR="00314F60" w:rsidRPr="00314F60" w:rsidRDefault="00314F60" w:rsidP="00314F60">
      <w:pPr>
        <w:jc w:val="center"/>
        <w:rPr>
          <w:b/>
          <w:bCs/>
          <w:sz w:val="36"/>
          <w:szCs w:val="36"/>
        </w:rPr>
      </w:pPr>
      <w:r w:rsidRPr="00314F60">
        <w:rPr>
          <w:b/>
          <w:bCs/>
          <w:sz w:val="36"/>
          <w:szCs w:val="36"/>
        </w:rPr>
        <w:t xml:space="preserve">Public </w:t>
      </w:r>
      <w:r>
        <w:rPr>
          <w:b/>
          <w:bCs/>
          <w:sz w:val="36"/>
          <w:szCs w:val="36"/>
        </w:rPr>
        <w:t>S</w:t>
      </w:r>
      <w:r w:rsidRPr="00314F60">
        <w:rPr>
          <w:b/>
          <w:bCs/>
          <w:sz w:val="36"/>
          <w:szCs w:val="36"/>
        </w:rPr>
        <w:t xml:space="preserve">ector </w:t>
      </w:r>
      <w:r>
        <w:rPr>
          <w:b/>
          <w:bCs/>
          <w:sz w:val="36"/>
          <w:szCs w:val="36"/>
        </w:rPr>
        <w:t>E</w:t>
      </w:r>
      <w:r w:rsidRPr="00314F60">
        <w:rPr>
          <w:b/>
          <w:bCs/>
          <w:sz w:val="36"/>
          <w:szCs w:val="36"/>
        </w:rPr>
        <w:t xml:space="preserve">quality </w:t>
      </w:r>
      <w:r>
        <w:rPr>
          <w:b/>
          <w:bCs/>
          <w:sz w:val="36"/>
          <w:szCs w:val="36"/>
        </w:rPr>
        <w:t>D</w:t>
      </w:r>
      <w:r w:rsidRPr="00314F60">
        <w:rPr>
          <w:b/>
          <w:bCs/>
          <w:sz w:val="36"/>
          <w:szCs w:val="36"/>
        </w:rPr>
        <w:t>uty</w:t>
      </w:r>
    </w:p>
    <w:p w14:paraId="01763A1A" w14:textId="3382D7B5" w:rsidR="00590491" w:rsidRPr="000A0C13" w:rsidRDefault="00590491" w:rsidP="00590491">
      <w:pPr>
        <w:jc w:val="center"/>
        <w:rPr>
          <w:b/>
          <w:bCs/>
          <w:sz w:val="36"/>
          <w:szCs w:val="36"/>
          <w:u w:val="single"/>
        </w:rPr>
      </w:pPr>
      <w:bookmarkStart w:id="0" w:name="_Hlk202864173"/>
      <w:r w:rsidRPr="000A0C13">
        <w:rPr>
          <w:b/>
          <w:bCs/>
          <w:sz w:val="36"/>
          <w:szCs w:val="36"/>
          <w:u w:val="single"/>
        </w:rPr>
        <w:t xml:space="preserve">Annual Equality Objectives </w:t>
      </w:r>
      <w:r w:rsidR="00314F60" w:rsidRPr="000A0C13">
        <w:rPr>
          <w:b/>
          <w:bCs/>
          <w:sz w:val="36"/>
          <w:szCs w:val="36"/>
          <w:u w:val="single"/>
        </w:rPr>
        <w:t>Action</w:t>
      </w:r>
      <w:r w:rsidRPr="000A0C13">
        <w:rPr>
          <w:b/>
          <w:bCs/>
          <w:sz w:val="36"/>
          <w:szCs w:val="36"/>
          <w:u w:val="single"/>
        </w:rPr>
        <w:t xml:space="preserve"> Plan </w:t>
      </w:r>
      <w:r w:rsidR="00C57C90">
        <w:rPr>
          <w:b/>
          <w:bCs/>
          <w:sz w:val="36"/>
          <w:szCs w:val="36"/>
          <w:u w:val="single"/>
        </w:rPr>
        <w:t xml:space="preserve">and </w:t>
      </w:r>
      <w:r w:rsidR="00C57C90" w:rsidRPr="000A0C13">
        <w:rPr>
          <w:b/>
          <w:bCs/>
          <w:sz w:val="36"/>
          <w:szCs w:val="36"/>
          <w:u w:val="single"/>
        </w:rPr>
        <w:t xml:space="preserve">Compliance </w:t>
      </w:r>
      <w:r w:rsidR="00C57C90">
        <w:rPr>
          <w:b/>
          <w:bCs/>
          <w:sz w:val="36"/>
          <w:szCs w:val="36"/>
          <w:u w:val="single"/>
        </w:rPr>
        <w:t xml:space="preserve">Statement </w:t>
      </w:r>
      <w:r w:rsidRPr="000A0C13">
        <w:rPr>
          <w:b/>
          <w:bCs/>
          <w:sz w:val="36"/>
          <w:szCs w:val="36"/>
          <w:u w:val="single"/>
        </w:rPr>
        <w:t>20</w:t>
      </w:r>
      <w:r w:rsidR="003D7844">
        <w:rPr>
          <w:b/>
          <w:bCs/>
          <w:sz w:val="36"/>
          <w:szCs w:val="36"/>
          <w:u w:val="single"/>
        </w:rPr>
        <w:t>25</w:t>
      </w:r>
      <w:r w:rsidRPr="000A0C13">
        <w:rPr>
          <w:b/>
          <w:bCs/>
          <w:sz w:val="36"/>
          <w:szCs w:val="36"/>
          <w:u w:val="single"/>
        </w:rPr>
        <w:t xml:space="preserve"> – 20</w:t>
      </w:r>
      <w:r w:rsidR="003D7844">
        <w:rPr>
          <w:b/>
          <w:bCs/>
          <w:sz w:val="36"/>
          <w:szCs w:val="36"/>
          <w:u w:val="single"/>
        </w:rPr>
        <w:t>26</w:t>
      </w:r>
    </w:p>
    <w:bookmarkEnd w:id="0"/>
    <w:p w14:paraId="1CC02226" w14:textId="77777777" w:rsidR="00590491" w:rsidRDefault="00590491" w:rsidP="00590491"/>
    <w:p w14:paraId="1765A754" w14:textId="17CBFF22" w:rsidR="00314F60" w:rsidRDefault="00314F60" w:rsidP="00314F60">
      <w:pPr>
        <w:jc w:val="center"/>
        <w:rPr>
          <w:rFonts w:cstheme="minorHAnsi"/>
          <w:b/>
          <w:bCs/>
          <w:sz w:val="28"/>
          <w:szCs w:val="28"/>
        </w:rPr>
      </w:pPr>
      <w:r>
        <w:rPr>
          <w:rFonts w:cstheme="minorHAnsi"/>
          <w:b/>
          <w:bCs/>
          <w:sz w:val="28"/>
          <w:szCs w:val="28"/>
        </w:rPr>
        <w:t>Every four years, The Good Shepherd Trust reviews it’s PSED Equality Objectives Statement.  The latest iteration dates from July 2025 and confirms the Trust’s six equality objectives as follows:-</w:t>
      </w:r>
    </w:p>
    <w:p w14:paraId="7889D514" w14:textId="77777777" w:rsidR="000A0C13" w:rsidRPr="00F643AC" w:rsidRDefault="000A0C13" w:rsidP="00314F60">
      <w:pPr>
        <w:jc w:val="center"/>
        <w:rPr>
          <w:rFonts w:cstheme="minorHAnsi"/>
        </w:rPr>
      </w:pPr>
    </w:p>
    <w:p w14:paraId="1989AF26" w14:textId="77777777" w:rsidR="00314F60" w:rsidRPr="009C5651" w:rsidRDefault="00314F60" w:rsidP="00314F60">
      <w:pPr>
        <w:pStyle w:val="ListParagraph"/>
        <w:numPr>
          <w:ilvl w:val="0"/>
          <w:numId w:val="1"/>
        </w:numPr>
        <w:spacing w:after="0" w:line="240" w:lineRule="auto"/>
        <w:rPr>
          <w:rFonts w:cstheme="minorHAnsi"/>
        </w:rPr>
      </w:pPr>
      <w:r w:rsidRPr="009C5651">
        <w:rPr>
          <w:rFonts w:cstheme="minorHAnsi"/>
        </w:rPr>
        <w:t>To ensure that staff and those responsible for governance are aware of current legislation surrounding equality and diversity</w:t>
      </w:r>
      <w:r>
        <w:rPr>
          <w:rFonts w:cstheme="minorHAnsi"/>
        </w:rPr>
        <w:t xml:space="preserve">, have completed relevant training </w:t>
      </w:r>
      <w:r w:rsidRPr="009C5651">
        <w:rPr>
          <w:rFonts w:cstheme="minorHAnsi"/>
        </w:rPr>
        <w:t xml:space="preserve">and understand the Trust’s responsibility;  </w:t>
      </w:r>
    </w:p>
    <w:p w14:paraId="5210F74E" w14:textId="77777777" w:rsidR="00314F60" w:rsidRPr="009C5651" w:rsidRDefault="00314F60" w:rsidP="00314F60">
      <w:pPr>
        <w:pStyle w:val="ListParagraph"/>
        <w:numPr>
          <w:ilvl w:val="0"/>
          <w:numId w:val="1"/>
        </w:numPr>
        <w:spacing w:after="0" w:line="240" w:lineRule="auto"/>
      </w:pPr>
      <w:r w:rsidRPr="009C5651">
        <w:t xml:space="preserve">To promote cultural understanding, awareness, and mutual respect for different religious beliefs across the diverse ethnic groups within our school communities;  </w:t>
      </w:r>
    </w:p>
    <w:p w14:paraId="6FEC5582" w14:textId="77777777" w:rsidR="00314F60" w:rsidRPr="009C5651" w:rsidRDefault="00314F60" w:rsidP="00314F60">
      <w:pPr>
        <w:pStyle w:val="ListParagraph"/>
        <w:numPr>
          <w:ilvl w:val="0"/>
          <w:numId w:val="1"/>
        </w:numPr>
        <w:spacing w:after="0" w:line="240" w:lineRule="auto"/>
        <w:rPr>
          <w:rFonts w:cstheme="minorHAnsi"/>
        </w:rPr>
      </w:pPr>
      <w:r w:rsidRPr="009C5651">
        <w:rPr>
          <w:rFonts w:cstheme="minorHAnsi"/>
        </w:rPr>
        <w:t xml:space="preserve">To promote mental health awareness and develop appropriate interventions where necessary; </w:t>
      </w:r>
    </w:p>
    <w:p w14:paraId="589944D3" w14:textId="77777777" w:rsidR="00314F60" w:rsidRPr="009C5651" w:rsidRDefault="00314F60" w:rsidP="00314F60">
      <w:pPr>
        <w:pStyle w:val="ListParagraph"/>
        <w:numPr>
          <w:ilvl w:val="0"/>
          <w:numId w:val="1"/>
        </w:numPr>
        <w:spacing w:after="0" w:line="240" w:lineRule="auto"/>
      </w:pPr>
      <w:r w:rsidRPr="009C5651">
        <w:t>To develop use of performance data and target setting to monitor pupil achievement and respond to variations between groups of learners, subjects, key stages and trends over time.</w:t>
      </w:r>
    </w:p>
    <w:p w14:paraId="0AF24260" w14:textId="77777777" w:rsidR="00314F60" w:rsidRPr="009C5651" w:rsidRDefault="00314F60" w:rsidP="00314F60">
      <w:pPr>
        <w:pStyle w:val="ListParagraph"/>
        <w:numPr>
          <w:ilvl w:val="0"/>
          <w:numId w:val="1"/>
        </w:numPr>
        <w:spacing w:after="0" w:line="240" w:lineRule="auto"/>
      </w:pPr>
      <w:r w:rsidRPr="009C5651">
        <w:t>To embed the positive and accurate representation of all protected characteristics across the curriculum and wider school life, ensuring that all pupils develop a secure, age-appropriate understanding of these characteristics and their importance in promoting equality, respect and inclusion.</w:t>
      </w:r>
    </w:p>
    <w:p w14:paraId="0AE909B0" w14:textId="77777777" w:rsidR="00314F60" w:rsidRDefault="00314F60" w:rsidP="00314F60">
      <w:pPr>
        <w:pStyle w:val="ListParagraph"/>
        <w:numPr>
          <w:ilvl w:val="0"/>
          <w:numId w:val="1"/>
        </w:numPr>
        <w:spacing w:after="0" w:line="240" w:lineRule="auto"/>
      </w:pPr>
      <w:r w:rsidRPr="009C5651">
        <w:t>To actively consider and implement initiatives to ensure our recruitment processes are fair, inclusive, and ultimately lead to a workforce that is more representative of the diverse society we serve.</w:t>
      </w:r>
    </w:p>
    <w:p w14:paraId="37EFE4B6" w14:textId="77777777" w:rsidR="000A0C13" w:rsidRDefault="000A0C13" w:rsidP="000A0C13">
      <w:pPr>
        <w:spacing w:after="0" w:line="240" w:lineRule="auto"/>
      </w:pPr>
    </w:p>
    <w:p w14:paraId="035F576A" w14:textId="77777777" w:rsidR="00314F60" w:rsidRDefault="00314F60" w:rsidP="00314F60">
      <w:pPr>
        <w:spacing w:after="0" w:line="240" w:lineRule="auto"/>
      </w:pPr>
    </w:p>
    <w:p w14:paraId="23B7F182" w14:textId="5207F4A3" w:rsidR="00F643AC" w:rsidRDefault="00314F60" w:rsidP="000A0C13">
      <w:pPr>
        <w:spacing w:after="0" w:line="240" w:lineRule="auto"/>
        <w:jc w:val="center"/>
        <w:rPr>
          <w:i/>
          <w:iCs/>
          <w:color w:val="0E2841" w:themeColor="text2"/>
        </w:rPr>
      </w:pPr>
      <w:hyperlink r:id="rId10" w:history="1">
        <w:r w:rsidRPr="000A0C13">
          <w:rPr>
            <w:rStyle w:val="Hyperlink"/>
            <w:i/>
            <w:iCs/>
            <w:color w:val="0E2841" w:themeColor="text2"/>
          </w:rPr>
          <w:t>The Equality Act 2010: advice for schools</w:t>
        </w:r>
      </w:hyperlink>
      <w:r w:rsidRPr="000A0C13">
        <w:rPr>
          <w:i/>
          <w:iCs/>
          <w:color w:val="0E2841" w:themeColor="text2"/>
        </w:rPr>
        <w:t> provides guidance on how an academy school can show it has complied, as required by the </w:t>
      </w:r>
      <w:hyperlink r:id="rId11" w:history="1">
        <w:r w:rsidRPr="000A0C13">
          <w:rPr>
            <w:rStyle w:val="Hyperlink"/>
            <w:i/>
            <w:iCs/>
            <w:color w:val="0E2841" w:themeColor="text2"/>
          </w:rPr>
          <w:t>Equality Act 2010</w:t>
        </w:r>
      </w:hyperlink>
      <w:r w:rsidRPr="000A0C13">
        <w:rPr>
          <w:i/>
          <w:iCs/>
          <w:color w:val="0E2841" w:themeColor="text2"/>
        </w:rPr>
        <w:t> and the </w:t>
      </w:r>
      <w:hyperlink r:id="rId12" w:history="1">
        <w:r w:rsidRPr="000A0C13">
          <w:rPr>
            <w:rStyle w:val="Hyperlink"/>
            <w:i/>
            <w:iCs/>
            <w:color w:val="0E2841" w:themeColor="text2"/>
          </w:rPr>
          <w:t>Equality Act 2010 (Specific Duties and Public Authorities) Regulations 2017</w:t>
        </w:r>
      </w:hyperlink>
      <w:r w:rsidRPr="000A0C13">
        <w:rPr>
          <w:i/>
          <w:iCs/>
          <w:color w:val="0E2841" w:themeColor="text2"/>
        </w:rPr>
        <w:t>.</w:t>
      </w:r>
    </w:p>
    <w:p w14:paraId="1640E716" w14:textId="77777777" w:rsidR="00F643AC" w:rsidRDefault="00F643AC">
      <w:pPr>
        <w:rPr>
          <w:i/>
          <w:iCs/>
          <w:color w:val="0E2841" w:themeColor="text2"/>
        </w:rPr>
      </w:pPr>
      <w:r>
        <w:rPr>
          <w:i/>
          <w:iCs/>
          <w:color w:val="0E2841" w:themeColor="text2"/>
        </w:rPr>
        <w:br w:type="page"/>
      </w:r>
    </w:p>
    <w:p w14:paraId="4D0EE707" w14:textId="77777777" w:rsidR="003C4D5A" w:rsidRPr="003C4D5A" w:rsidRDefault="003C4D5A" w:rsidP="003C4D5A">
      <w:pPr>
        <w:jc w:val="center"/>
        <w:rPr>
          <w:sz w:val="16"/>
          <w:szCs w:val="16"/>
        </w:rPr>
      </w:pPr>
    </w:p>
    <w:p w14:paraId="2141AD58" w14:textId="23E3E541" w:rsidR="000A0C13" w:rsidRPr="000A0C13" w:rsidRDefault="000A0C13" w:rsidP="003C4D5A">
      <w:pPr>
        <w:jc w:val="center"/>
        <w:rPr>
          <w:b/>
          <w:bCs/>
          <w:sz w:val="36"/>
          <w:szCs w:val="36"/>
          <w:u w:val="single"/>
        </w:rPr>
      </w:pPr>
      <w:r w:rsidRPr="000A0C13">
        <w:rPr>
          <w:b/>
          <w:bCs/>
          <w:sz w:val="36"/>
          <w:szCs w:val="36"/>
          <w:u w:val="single"/>
        </w:rPr>
        <w:t xml:space="preserve">Annual Equality Objectives Action Plan </w:t>
      </w:r>
      <w:r w:rsidR="00983E9C">
        <w:rPr>
          <w:b/>
          <w:bCs/>
          <w:sz w:val="36"/>
          <w:szCs w:val="36"/>
          <w:u w:val="single"/>
        </w:rPr>
        <w:t xml:space="preserve">and </w:t>
      </w:r>
      <w:r w:rsidR="00983E9C" w:rsidRPr="000A0C13">
        <w:rPr>
          <w:b/>
          <w:bCs/>
          <w:sz w:val="36"/>
          <w:szCs w:val="36"/>
          <w:u w:val="single"/>
        </w:rPr>
        <w:t xml:space="preserve">Compliance </w:t>
      </w:r>
      <w:r w:rsidR="00983E9C">
        <w:rPr>
          <w:b/>
          <w:bCs/>
          <w:sz w:val="36"/>
          <w:szCs w:val="36"/>
          <w:u w:val="single"/>
        </w:rPr>
        <w:t xml:space="preserve">Statement </w:t>
      </w:r>
      <w:r w:rsidRPr="000A0C13">
        <w:rPr>
          <w:b/>
          <w:bCs/>
          <w:sz w:val="36"/>
          <w:szCs w:val="36"/>
          <w:u w:val="single"/>
        </w:rPr>
        <w:t>20</w:t>
      </w:r>
      <w:r w:rsidR="003D7844">
        <w:rPr>
          <w:b/>
          <w:bCs/>
          <w:sz w:val="36"/>
          <w:szCs w:val="36"/>
          <w:u w:val="single"/>
        </w:rPr>
        <w:t>25</w:t>
      </w:r>
      <w:r w:rsidRPr="000A0C13">
        <w:rPr>
          <w:b/>
          <w:bCs/>
          <w:sz w:val="36"/>
          <w:szCs w:val="36"/>
          <w:u w:val="single"/>
        </w:rPr>
        <w:t xml:space="preserve"> – 20</w:t>
      </w:r>
      <w:r w:rsidR="003D7844">
        <w:rPr>
          <w:b/>
          <w:bCs/>
          <w:sz w:val="36"/>
          <w:szCs w:val="36"/>
          <w:u w:val="single"/>
        </w:rPr>
        <w:t>26</w:t>
      </w:r>
    </w:p>
    <w:p w14:paraId="02E25343" w14:textId="2ED40E28" w:rsidR="003D7844" w:rsidRDefault="00314F60" w:rsidP="00590491">
      <w:pPr>
        <w:rPr>
          <w:b/>
          <w:bCs/>
          <w:i/>
          <w:iCs/>
          <w:color w:val="0A2F41" w:themeColor="accent1" w:themeShade="80"/>
        </w:rPr>
      </w:pPr>
      <w:r w:rsidRPr="000A0C13">
        <w:rPr>
          <w:b/>
          <w:bCs/>
          <w:i/>
          <w:iCs/>
          <w:color w:val="0A2F41" w:themeColor="accent1" w:themeShade="80"/>
        </w:rPr>
        <w:t xml:space="preserve">Last Updated and Presented to Local Committee on: </w:t>
      </w:r>
      <w:r w:rsidR="003D7844">
        <w:rPr>
          <w:b/>
          <w:bCs/>
          <w:i/>
          <w:iCs/>
          <w:color w:val="0A2F41" w:themeColor="accent1" w:themeShade="80"/>
        </w:rPr>
        <w:t>22/10/2025</w:t>
      </w:r>
    </w:p>
    <w:tbl>
      <w:tblPr>
        <w:tblStyle w:val="TableGrid"/>
        <w:tblW w:w="14029" w:type="dxa"/>
        <w:tblLook w:val="04A0" w:firstRow="1" w:lastRow="0" w:firstColumn="1" w:lastColumn="0" w:noHBand="0" w:noVBand="1"/>
      </w:tblPr>
      <w:tblGrid>
        <w:gridCol w:w="553"/>
        <w:gridCol w:w="3837"/>
        <w:gridCol w:w="3969"/>
        <w:gridCol w:w="3685"/>
        <w:gridCol w:w="1985"/>
      </w:tblGrid>
      <w:tr w:rsidR="003D7844" w14:paraId="6D423AB9" w14:textId="77777777" w:rsidTr="003D7844">
        <w:tc>
          <w:tcPr>
            <w:tcW w:w="553" w:type="dxa"/>
          </w:tcPr>
          <w:p w14:paraId="241E2949" w14:textId="77777777" w:rsidR="003D7844" w:rsidRPr="00590491" w:rsidRDefault="003D7844" w:rsidP="000C1F4D">
            <w:pPr>
              <w:rPr>
                <w:b/>
                <w:bCs/>
                <w:color w:val="002060"/>
              </w:rPr>
            </w:pPr>
            <w:r w:rsidRPr="00590491">
              <w:rPr>
                <w:b/>
                <w:bCs/>
                <w:color w:val="002060"/>
              </w:rPr>
              <w:t>Ref</w:t>
            </w:r>
          </w:p>
        </w:tc>
        <w:tc>
          <w:tcPr>
            <w:tcW w:w="3837" w:type="dxa"/>
          </w:tcPr>
          <w:p w14:paraId="3422A492" w14:textId="77777777" w:rsidR="003D7844" w:rsidRPr="00590491" w:rsidRDefault="003D7844" w:rsidP="000C1F4D">
            <w:pPr>
              <w:rPr>
                <w:b/>
                <w:bCs/>
                <w:color w:val="002060"/>
              </w:rPr>
            </w:pPr>
            <w:r w:rsidRPr="00590491">
              <w:rPr>
                <w:b/>
                <w:bCs/>
                <w:color w:val="002060"/>
              </w:rPr>
              <w:t>Objective</w:t>
            </w:r>
          </w:p>
        </w:tc>
        <w:tc>
          <w:tcPr>
            <w:tcW w:w="3969" w:type="dxa"/>
          </w:tcPr>
          <w:p w14:paraId="301040B8" w14:textId="77777777" w:rsidR="003D7844" w:rsidRPr="00590491" w:rsidRDefault="003D7844" w:rsidP="000C1F4D">
            <w:pPr>
              <w:rPr>
                <w:b/>
                <w:bCs/>
                <w:color w:val="002060"/>
              </w:rPr>
            </w:pPr>
            <w:r w:rsidRPr="00590491">
              <w:rPr>
                <w:b/>
                <w:bCs/>
                <w:color w:val="002060"/>
              </w:rPr>
              <w:t xml:space="preserve">Measured by </w:t>
            </w:r>
          </w:p>
        </w:tc>
        <w:tc>
          <w:tcPr>
            <w:tcW w:w="3685" w:type="dxa"/>
          </w:tcPr>
          <w:p w14:paraId="7A8F97D9" w14:textId="4B84F52A" w:rsidR="003D7844" w:rsidRPr="00590491" w:rsidRDefault="003D7844" w:rsidP="000C1F4D">
            <w:pPr>
              <w:rPr>
                <w:b/>
                <w:bCs/>
                <w:color w:val="002060"/>
              </w:rPr>
            </w:pPr>
            <w:r w:rsidRPr="00590491">
              <w:rPr>
                <w:b/>
                <w:bCs/>
                <w:color w:val="002060"/>
              </w:rPr>
              <w:t>Activity</w:t>
            </w:r>
            <w:r>
              <w:rPr>
                <w:b/>
                <w:bCs/>
                <w:color w:val="002060"/>
              </w:rPr>
              <w:t xml:space="preserve"> to comply</w:t>
            </w:r>
          </w:p>
        </w:tc>
        <w:tc>
          <w:tcPr>
            <w:tcW w:w="1985" w:type="dxa"/>
          </w:tcPr>
          <w:p w14:paraId="71C16B32" w14:textId="40797E6F" w:rsidR="003D7844" w:rsidRPr="00590491" w:rsidRDefault="003D7844" w:rsidP="000C1F4D">
            <w:pPr>
              <w:rPr>
                <w:b/>
                <w:bCs/>
                <w:color w:val="002060"/>
              </w:rPr>
            </w:pPr>
            <w:r w:rsidRPr="00590491">
              <w:rPr>
                <w:b/>
                <w:bCs/>
                <w:color w:val="002060"/>
              </w:rPr>
              <w:t>Le</w:t>
            </w:r>
            <w:r>
              <w:rPr>
                <w:b/>
                <w:bCs/>
                <w:color w:val="002060"/>
              </w:rPr>
              <w:t>d by</w:t>
            </w:r>
          </w:p>
        </w:tc>
      </w:tr>
      <w:tr w:rsidR="003D7844" w:rsidRPr="00D33998" w14:paraId="741B26C9" w14:textId="77777777" w:rsidTr="003D7844">
        <w:tc>
          <w:tcPr>
            <w:tcW w:w="553" w:type="dxa"/>
          </w:tcPr>
          <w:p w14:paraId="20D3B1DC" w14:textId="77777777" w:rsidR="003D7844" w:rsidRPr="00D33998" w:rsidRDefault="003D7844" w:rsidP="000C1F4D">
            <w:pPr>
              <w:rPr>
                <w:sz w:val="20"/>
                <w:szCs w:val="20"/>
              </w:rPr>
            </w:pPr>
            <w:r w:rsidRPr="00D33998">
              <w:rPr>
                <w:sz w:val="20"/>
                <w:szCs w:val="20"/>
              </w:rPr>
              <w:t>1</w:t>
            </w:r>
          </w:p>
        </w:tc>
        <w:tc>
          <w:tcPr>
            <w:tcW w:w="3837" w:type="dxa"/>
          </w:tcPr>
          <w:p w14:paraId="745B1910" w14:textId="77777777" w:rsidR="003D7844" w:rsidRPr="00D33998" w:rsidRDefault="003D7844" w:rsidP="000C1F4D">
            <w:pPr>
              <w:rPr>
                <w:sz w:val="20"/>
                <w:szCs w:val="20"/>
              </w:rPr>
            </w:pPr>
            <w:r w:rsidRPr="00D33998">
              <w:rPr>
                <w:sz w:val="20"/>
                <w:szCs w:val="20"/>
              </w:rPr>
              <w:t>Provide training opportunities for all staff to explore diversity and how we support and encourage this within our organisation.</w:t>
            </w:r>
          </w:p>
        </w:tc>
        <w:tc>
          <w:tcPr>
            <w:tcW w:w="3969" w:type="dxa"/>
          </w:tcPr>
          <w:p w14:paraId="65DD7A57" w14:textId="77777777" w:rsidR="003D7844" w:rsidRPr="00D33998" w:rsidRDefault="003D7844" w:rsidP="000C1F4D">
            <w:pPr>
              <w:rPr>
                <w:sz w:val="20"/>
                <w:szCs w:val="20"/>
              </w:rPr>
            </w:pPr>
            <w:r w:rsidRPr="00D33998">
              <w:rPr>
                <w:sz w:val="20"/>
                <w:szCs w:val="20"/>
              </w:rPr>
              <w:t>Training records completed.</w:t>
            </w:r>
          </w:p>
        </w:tc>
        <w:tc>
          <w:tcPr>
            <w:tcW w:w="3685" w:type="dxa"/>
          </w:tcPr>
          <w:p w14:paraId="7CAB3B6F" w14:textId="77777777" w:rsidR="003D7844" w:rsidRPr="00D33998" w:rsidRDefault="003D7844" w:rsidP="000C1F4D">
            <w:pPr>
              <w:rPr>
                <w:sz w:val="20"/>
                <w:szCs w:val="20"/>
              </w:rPr>
            </w:pPr>
            <w:r w:rsidRPr="00D33998">
              <w:rPr>
                <w:sz w:val="20"/>
                <w:szCs w:val="20"/>
              </w:rPr>
              <w:t>CPD for all staff on cultural diversity and how to promote and celebrate it, allowing us to retain our identities and beliefs yet work together in one community.</w:t>
            </w:r>
          </w:p>
        </w:tc>
        <w:tc>
          <w:tcPr>
            <w:tcW w:w="1985" w:type="dxa"/>
          </w:tcPr>
          <w:p w14:paraId="50141DBD" w14:textId="77777777" w:rsidR="003D7844" w:rsidRPr="00D33998" w:rsidRDefault="003D7844" w:rsidP="000C1F4D">
            <w:pPr>
              <w:rPr>
                <w:sz w:val="20"/>
                <w:szCs w:val="20"/>
              </w:rPr>
            </w:pPr>
            <w:r w:rsidRPr="00D33998">
              <w:rPr>
                <w:sz w:val="20"/>
                <w:szCs w:val="20"/>
              </w:rPr>
              <w:t>GST – Every training</w:t>
            </w:r>
          </w:p>
        </w:tc>
      </w:tr>
      <w:tr w:rsidR="003D7844" w:rsidRPr="00D33998" w14:paraId="75734B96" w14:textId="77777777" w:rsidTr="003D7844">
        <w:tc>
          <w:tcPr>
            <w:tcW w:w="553" w:type="dxa"/>
          </w:tcPr>
          <w:p w14:paraId="50ABF012" w14:textId="77777777" w:rsidR="003D7844" w:rsidRPr="00D33998" w:rsidRDefault="003D7844" w:rsidP="000C1F4D">
            <w:pPr>
              <w:rPr>
                <w:sz w:val="20"/>
                <w:szCs w:val="20"/>
              </w:rPr>
            </w:pPr>
            <w:r w:rsidRPr="00D33998">
              <w:rPr>
                <w:sz w:val="20"/>
                <w:szCs w:val="20"/>
              </w:rPr>
              <w:t>2</w:t>
            </w:r>
          </w:p>
        </w:tc>
        <w:tc>
          <w:tcPr>
            <w:tcW w:w="3837" w:type="dxa"/>
          </w:tcPr>
          <w:p w14:paraId="6F25B089" w14:textId="77777777" w:rsidR="003D7844" w:rsidRPr="00D33998" w:rsidRDefault="003D7844" w:rsidP="000C1F4D">
            <w:pPr>
              <w:rPr>
                <w:sz w:val="20"/>
                <w:szCs w:val="20"/>
              </w:rPr>
            </w:pPr>
            <w:r w:rsidRPr="00D33998">
              <w:rPr>
                <w:sz w:val="20"/>
                <w:szCs w:val="20"/>
              </w:rPr>
              <w:t>Foster good relationships between all members of the school community encouraging openness and tolerance by respecting each other’s beliefs.</w:t>
            </w:r>
          </w:p>
        </w:tc>
        <w:tc>
          <w:tcPr>
            <w:tcW w:w="3969" w:type="dxa"/>
          </w:tcPr>
          <w:p w14:paraId="13F27B59" w14:textId="77777777" w:rsidR="003D7844" w:rsidRPr="00D33998" w:rsidRDefault="003D7844" w:rsidP="000C1F4D">
            <w:pPr>
              <w:rPr>
                <w:sz w:val="20"/>
                <w:szCs w:val="20"/>
              </w:rPr>
            </w:pPr>
            <w:r w:rsidRPr="00D33998">
              <w:rPr>
                <w:sz w:val="20"/>
                <w:szCs w:val="20"/>
              </w:rPr>
              <w:t>Continued reduction in the number of racist/bullying substantiated issues recorded. Logging of racist/discriminatory incidents on CPOMS</w:t>
            </w:r>
          </w:p>
        </w:tc>
        <w:tc>
          <w:tcPr>
            <w:tcW w:w="3685" w:type="dxa"/>
          </w:tcPr>
          <w:p w14:paraId="5872B74F" w14:textId="77777777" w:rsidR="003D7844" w:rsidRPr="00D33998" w:rsidRDefault="003D7844" w:rsidP="000C1F4D">
            <w:pPr>
              <w:rPr>
                <w:sz w:val="20"/>
                <w:szCs w:val="20"/>
              </w:rPr>
            </w:pPr>
            <w:r w:rsidRPr="00D33998">
              <w:rPr>
                <w:sz w:val="20"/>
                <w:szCs w:val="20"/>
              </w:rPr>
              <w:t>Encourage all members of the community to talk openly together to promote positive behaviours for learning.  Home School Link Worker to support vulnerable groups CPD for staff on expectations.</w:t>
            </w:r>
          </w:p>
        </w:tc>
        <w:tc>
          <w:tcPr>
            <w:tcW w:w="1985" w:type="dxa"/>
          </w:tcPr>
          <w:p w14:paraId="43EF3175" w14:textId="77777777" w:rsidR="003D7844" w:rsidRPr="00D33998" w:rsidRDefault="003D7844" w:rsidP="000C1F4D">
            <w:pPr>
              <w:rPr>
                <w:sz w:val="20"/>
                <w:szCs w:val="20"/>
              </w:rPr>
            </w:pPr>
            <w:r w:rsidRPr="00D33998">
              <w:rPr>
                <w:sz w:val="20"/>
                <w:szCs w:val="20"/>
              </w:rPr>
              <w:t>Headteacher</w:t>
            </w:r>
          </w:p>
        </w:tc>
      </w:tr>
      <w:tr w:rsidR="003D7844" w:rsidRPr="00D33998" w14:paraId="48718A54" w14:textId="77777777" w:rsidTr="003D7844">
        <w:tc>
          <w:tcPr>
            <w:tcW w:w="553" w:type="dxa"/>
          </w:tcPr>
          <w:p w14:paraId="6327A550" w14:textId="77777777" w:rsidR="003D7844" w:rsidRPr="00D33998" w:rsidRDefault="003D7844" w:rsidP="000C1F4D">
            <w:pPr>
              <w:rPr>
                <w:sz w:val="20"/>
                <w:szCs w:val="20"/>
              </w:rPr>
            </w:pPr>
            <w:r w:rsidRPr="00D33998">
              <w:rPr>
                <w:sz w:val="20"/>
                <w:szCs w:val="20"/>
              </w:rPr>
              <w:t>3</w:t>
            </w:r>
          </w:p>
        </w:tc>
        <w:tc>
          <w:tcPr>
            <w:tcW w:w="3837" w:type="dxa"/>
          </w:tcPr>
          <w:p w14:paraId="02FDD697" w14:textId="00A7577D" w:rsidR="003D7844" w:rsidRPr="00D33998" w:rsidRDefault="003D7844" w:rsidP="000C1F4D">
            <w:pPr>
              <w:rPr>
                <w:sz w:val="20"/>
                <w:szCs w:val="20"/>
              </w:rPr>
            </w:pPr>
            <w:r w:rsidRPr="00D33998">
              <w:rPr>
                <w:sz w:val="20"/>
                <w:szCs w:val="20"/>
              </w:rPr>
              <w:t>Continue to ensure that parents/carers of all new children are made to feel welcome. Continue to ensure that parental voice is heard and acted upon.</w:t>
            </w:r>
          </w:p>
        </w:tc>
        <w:tc>
          <w:tcPr>
            <w:tcW w:w="3969" w:type="dxa"/>
          </w:tcPr>
          <w:p w14:paraId="5F1E213E" w14:textId="77777777" w:rsidR="003D7844" w:rsidRPr="00D33998" w:rsidRDefault="003D7844" w:rsidP="000C1F4D">
            <w:pPr>
              <w:rPr>
                <w:sz w:val="20"/>
                <w:szCs w:val="20"/>
              </w:rPr>
            </w:pPr>
            <w:r w:rsidRPr="00D33998">
              <w:rPr>
                <w:sz w:val="20"/>
                <w:szCs w:val="20"/>
              </w:rPr>
              <w:t xml:space="preserve">Parent forum termly and parent meetings more frequently when needed. Parental feedback on transition for new entrants. Annual parental survey.  </w:t>
            </w:r>
          </w:p>
        </w:tc>
        <w:tc>
          <w:tcPr>
            <w:tcW w:w="3685" w:type="dxa"/>
          </w:tcPr>
          <w:p w14:paraId="21EE1ED2" w14:textId="77777777" w:rsidR="003D7844" w:rsidRPr="00D33998" w:rsidRDefault="003D7844" w:rsidP="000C1F4D">
            <w:pPr>
              <w:rPr>
                <w:sz w:val="20"/>
                <w:szCs w:val="20"/>
              </w:rPr>
            </w:pPr>
            <w:r w:rsidRPr="00D33998">
              <w:rPr>
                <w:sz w:val="20"/>
                <w:szCs w:val="20"/>
              </w:rPr>
              <w:t>Ensure that on joining the school, parents are informed of communication methods and whether the school needs to make any adjustments to support them or their children. Home School Link Worker to support new entrants if relevant.</w:t>
            </w:r>
          </w:p>
        </w:tc>
        <w:tc>
          <w:tcPr>
            <w:tcW w:w="1985" w:type="dxa"/>
          </w:tcPr>
          <w:p w14:paraId="472119DB" w14:textId="77777777" w:rsidR="003D7844" w:rsidRPr="00D33998" w:rsidRDefault="003D7844" w:rsidP="000C1F4D">
            <w:pPr>
              <w:rPr>
                <w:sz w:val="20"/>
                <w:szCs w:val="20"/>
              </w:rPr>
            </w:pPr>
            <w:r w:rsidRPr="00D33998">
              <w:rPr>
                <w:sz w:val="20"/>
                <w:szCs w:val="20"/>
              </w:rPr>
              <w:t>Headteacher</w:t>
            </w:r>
          </w:p>
        </w:tc>
      </w:tr>
      <w:tr w:rsidR="003D7844" w:rsidRPr="00D33998" w14:paraId="1F1A2CE5" w14:textId="77777777" w:rsidTr="003D7844">
        <w:tc>
          <w:tcPr>
            <w:tcW w:w="553" w:type="dxa"/>
          </w:tcPr>
          <w:p w14:paraId="46D48791" w14:textId="77777777" w:rsidR="003D7844" w:rsidRPr="00D33998" w:rsidRDefault="003D7844" w:rsidP="000C1F4D">
            <w:pPr>
              <w:rPr>
                <w:sz w:val="20"/>
                <w:szCs w:val="20"/>
              </w:rPr>
            </w:pPr>
            <w:r w:rsidRPr="00D33998">
              <w:rPr>
                <w:sz w:val="20"/>
                <w:szCs w:val="20"/>
              </w:rPr>
              <w:t>4</w:t>
            </w:r>
          </w:p>
        </w:tc>
        <w:tc>
          <w:tcPr>
            <w:tcW w:w="3837" w:type="dxa"/>
          </w:tcPr>
          <w:p w14:paraId="6261915A" w14:textId="77777777" w:rsidR="003D7844" w:rsidRPr="00D33998" w:rsidRDefault="003D7844" w:rsidP="000C1F4D">
            <w:pPr>
              <w:rPr>
                <w:sz w:val="20"/>
                <w:szCs w:val="20"/>
              </w:rPr>
            </w:pPr>
            <w:r w:rsidRPr="00D33998">
              <w:rPr>
                <w:sz w:val="20"/>
                <w:szCs w:val="20"/>
              </w:rPr>
              <w:t>Continue to ensure that all children achieve the best possible outcomes and that the gap between those children who are disadvantaged or vulnerable continues to close</w:t>
            </w:r>
          </w:p>
        </w:tc>
        <w:tc>
          <w:tcPr>
            <w:tcW w:w="3969" w:type="dxa"/>
          </w:tcPr>
          <w:p w14:paraId="54121511" w14:textId="77777777" w:rsidR="003D7844" w:rsidRPr="00D33998" w:rsidRDefault="003D7844" w:rsidP="000C1F4D">
            <w:pPr>
              <w:rPr>
                <w:sz w:val="20"/>
                <w:szCs w:val="20"/>
              </w:rPr>
            </w:pPr>
            <w:r w:rsidRPr="00D33998">
              <w:rPr>
                <w:sz w:val="20"/>
                <w:szCs w:val="20"/>
              </w:rPr>
              <w:t xml:space="preserve">Pupil achievement and progress is in line with age expectations for </w:t>
            </w:r>
            <w:proofErr w:type="gramStart"/>
            <w:r w:rsidRPr="00D33998">
              <w:rPr>
                <w:sz w:val="20"/>
                <w:szCs w:val="20"/>
              </w:rPr>
              <w:t>the majority of</w:t>
            </w:r>
            <w:proofErr w:type="gramEnd"/>
            <w:r w:rsidRPr="00D33998">
              <w:rPr>
                <w:sz w:val="20"/>
                <w:szCs w:val="20"/>
              </w:rPr>
              <w:t xml:space="preserve"> pupils. Pupils are secure in their breadth and depth of knowledge, understanding and skills. Pupils </w:t>
            </w:r>
            <w:proofErr w:type="gramStart"/>
            <w:r w:rsidRPr="00D33998">
              <w:rPr>
                <w:sz w:val="20"/>
                <w:szCs w:val="20"/>
              </w:rPr>
              <w:t>are able to</w:t>
            </w:r>
            <w:proofErr w:type="gramEnd"/>
            <w:r w:rsidRPr="00D33998">
              <w:rPr>
                <w:sz w:val="20"/>
                <w:szCs w:val="20"/>
              </w:rPr>
              <w:t xml:space="preserve"> progress to the next stage of their learning.</w:t>
            </w:r>
          </w:p>
        </w:tc>
        <w:tc>
          <w:tcPr>
            <w:tcW w:w="3685" w:type="dxa"/>
          </w:tcPr>
          <w:p w14:paraId="54BF122E" w14:textId="77777777" w:rsidR="003D7844" w:rsidRPr="00D33998" w:rsidRDefault="003D7844" w:rsidP="000C1F4D">
            <w:pPr>
              <w:rPr>
                <w:sz w:val="20"/>
                <w:szCs w:val="20"/>
              </w:rPr>
            </w:pPr>
            <w:r w:rsidRPr="00D33998">
              <w:rPr>
                <w:sz w:val="20"/>
                <w:szCs w:val="20"/>
              </w:rPr>
              <w:t xml:space="preserve">Review of progress for disadvantaged pupils, SEND and those with disabilities matches or is improving towards that of other pupils with the same starting points </w:t>
            </w:r>
          </w:p>
        </w:tc>
        <w:tc>
          <w:tcPr>
            <w:tcW w:w="1985" w:type="dxa"/>
          </w:tcPr>
          <w:p w14:paraId="412942DB" w14:textId="77777777" w:rsidR="003D7844" w:rsidRPr="00D33998" w:rsidRDefault="003D7844" w:rsidP="000C1F4D">
            <w:pPr>
              <w:rPr>
                <w:sz w:val="20"/>
                <w:szCs w:val="20"/>
              </w:rPr>
            </w:pPr>
            <w:r w:rsidRPr="00D33998">
              <w:rPr>
                <w:sz w:val="20"/>
                <w:szCs w:val="20"/>
              </w:rPr>
              <w:t>Curriculum and Assessment leads</w:t>
            </w:r>
          </w:p>
        </w:tc>
      </w:tr>
    </w:tbl>
    <w:p w14:paraId="21F7406B" w14:textId="7D986950" w:rsidR="00132541" w:rsidRDefault="00132541" w:rsidP="00590491"/>
    <w:sectPr w:rsidR="00132541" w:rsidSect="00590491">
      <w:headerReference w:type="default" r:id="rId13"/>
      <w:footerReference w:type="default" r:id="rId14"/>
      <w:pgSz w:w="16838" w:h="11906" w:orient="landscape"/>
      <w:pgMar w:top="1440" w:right="1440" w:bottom="1440" w:left="144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5CD7" w14:textId="77777777" w:rsidR="00613CED" w:rsidRDefault="00613CED" w:rsidP="00590491">
      <w:pPr>
        <w:spacing w:after="0" w:line="240" w:lineRule="auto"/>
      </w:pPr>
      <w:r>
        <w:separator/>
      </w:r>
    </w:p>
  </w:endnote>
  <w:endnote w:type="continuationSeparator" w:id="0">
    <w:p w14:paraId="56BCA2CC" w14:textId="77777777" w:rsidR="00613CED" w:rsidRDefault="00613CED" w:rsidP="00590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B69E" w14:textId="6D8EF60D" w:rsidR="00F835A4" w:rsidRPr="00F835A4" w:rsidRDefault="00F835A4" w:rsidP="000A0C13">
    <w:pPr>
      <w:jc w:val="right"/>
      <w:rPr>
        <w:b/>
        <w:bCs/>
        <w:sz w:val="36"/>
        <w:szCs w:val="36"/>
      </w:rPr>
    </w:pPr>
    <w:r>
      <w:rPr>
        <w:b/>
        <w:bCs/>
        <w:sz w:val="36"/>
        <w:szCs w:val="36"/>
      </w:rPr>
      <w:t xml:space="preserve">                                            </w:t>
    </w:r>
    <w:sdt>
      <w:sdtPr>
        <w:id w:val="-18456251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79F139" w14:textId="63C63330" w:rsidR="00F835A4" w:rsidRPr="00F835A4" w:rsidRDefault="00F835A4" w:rsidP="00F835A4">
    <w:pPr>
      <w:jc w:val="center"/>
      <w:rPr>
        <w:b/>
        <w:bCs/>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5607" w14:textId="77777777" w:rsidR="00613CED" w:rsidRDefault="00613CED" w:rsidP="00590491">
      <w:pPr>
        <w:spacing w:after="0" w:line="240" w:lineRule="auto"/>
      </w:pPr>
      <w:r>
        <w:separator/>
      </w:r>
    </w:p>
  </w:footnote>
  <w:footnote w:type="continuationSeparator" w:id="0">
    <w:p w14:paraId="75167DAE" w14:textId="77777777" w:rsidR="00613CED" w:rsidRDefault="00613CED" w:rsidP="00590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279F" w14:textId="2C6D2B48" w:rsidR="00590491" w:rsidRPr="003D7844" w:rsidRDefault="003D7844">
    <w:pPr>
      <w:pStyle w:val="Header"/>
      <w:rPr>
        <w:highlight w:val="yellow"/>
        <w:lang w:val="en-US"/>
      </w:rPr>
    </w:pPr>
    <w:r>
      <w:rPr>
        <w:noProof/>
        <w:lang w:val="en-US"/>
      </w:rPr>
      <w:drawing>
        <wp:inline distT="0" distB="0" distL="0" distR="0" wp14:anchorId="5BDD29EF" wp14:editId="4E7AB9EB">
          <wp:extent cx="3277386" cy="619125"/>
          <wp:effectExtent l="0" t="0" r="0" b="0"/>
          <wp:docPr id="603295557"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95557"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87546" cy="621044"/>
                  </a:xfrm>
                  <a:prstGeom prst="rect">
                    <a:avLst/>
                  </a:prstGeom>
                </pic:spPr>
              </pic:pic>
            </a:graphicData>
          </a:graphic>
        </wp:inline>
      </w:drawing>
    </w:r>
    <w:r>
      <w:rPr>
        <w:lang w:val="en-US"/>
      </w:rPr>
      <w:t xml:space="preserve">                                                                                                                                                     </w:t>
    </w:r>
    <w:r>
      <w:rPr>
        <w:noProof/>
        <w:lang w:val="en-US"/>
      </w:rPr>
      <w:drawing>
        <wp:inline distT="0" distB="0" distL="0" distR="0" wp14:anchorId="01B3777B" wp14:editId="53EAE0A4">
          <wp:extent cx="1276350" cy="559802"/>
          <wp:effectExtent l="0" t="0" r="0" b="0"/>
          <wp:docPr id="902907989"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07989" name="Picture 1" descr="A logo with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87840" cy="564841"/>
                  </a:xfrm>
                  <a:prstGeom prst="rect">
                    <a:avLst/>
                  </a:prstGeom>
                </pic:spPr>
              </pic:pic>
            </a:graphicData>
          </a:graphic>
        </wp:inline>
      </w:drawing>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C5D71"/>
    <w:multiLevelType w:val="hybridMultilevel"/>
    <w:tmpl w:val="950C7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645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91"/>
    <w:rsid w:val="000A0C13"/>
    <w:rsid w:val="00132541"/>
    <w:rsid w:val="002C21B0"/>
    <w:rsid w:val="00314F60"/>
    <w:rsid w:val="003C4D5A"/>
    <w:rsid w:val="003D7844"/>
    <w:rsid w:val="00457D2B"/>
    <w:rsid w:val="005835DC"/>
    <w:rsid w:val="00590491"/>
    <w:rsid w:val="005C3B88"/>
    <w:rsid w:val="00613CED"/>
    <w:rsid w:val="006F6F40"/>
    <w:rsid w:val="0076094F"/>
    <w:rsid w:val="007B4A59"/>
    <w:rsid w:val="007F17E7"/>
    <w:rsid w:val="00983E9C"/>
    <w:rsid w:val="00A26A75"/>
    <w:rsid w:val="00A97D6D"/>
    <w:rsid w:val="00B12E51"/>
    <w:rsid w:val="00B770A7"/>
    <w:rsid w:val="00C57C90"/>
    <w:rsid w:val="00DB6F61"/>
    <w:rsid w:val="00F643AC"/>
    <w:rsid w:val="00F835A4"/>
    <w:rsid w:val="00FF59B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EFEFF"/>
  <w15:chartTrackingRefBased/>
  <w15:docId w15:val="{07F991EC-78DE-45C3-9702-98930D9A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0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4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4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4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4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0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491"/>
    <w:rPr>
      <w:rFonts w:eastAsiaTheme="majorEastAsia" w:cstheme="majorBidi"/>
      <w:color w:val="272727" w:themeColor="text1" w:themeTint="D8"/>
    </w:rPr>
  </w:style>
  <w:style w:type="paragraph" w:styleId="Title">
    <w:name w:val="Title"/>
    <w:basedOn w:val="Normal"/>
    <w:next w:val="Normal"/>
    <w:link w:val="TitleChar"/>
    <w:uiPriority w:val="10"/>
    <w:qFormat/>
    <w:rsid w:val="00590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491"/>
    <w:pPr>
      <w:spacing w:before="160"/>
      <w:jc w:val="center"/>
    </w:pPr>
    <w:rPr>
      <w:i/>
      <w:iCs/>
      <w:color w:val="404040" w:themeColor="text1" w:themeTint="BF"/>
    </w:rPr>
  </w:style>
  <w:style w:type="character" w:customStyle="1" w:styleId="QuoteChar">
    <w:name w:val="Quote Char"/>
    <w:basedOn w:val="DefaultParagraphFont"/>
    <w:link w:val="Quote"/>
    <w:uiPriority w:val="29"/>
    <w:rsid w:val="00590491"/>
    <w:rPr>
      <w:i/>
      <w:iCs/>
      <w:color w:val="404040" w:themeColor="text1" w:themeTint="BF"/>
    </w:rPr>
  </w:style>
  <w:style w:type="paragraph" w:styleId="ListParagraph">
    <w:name w:val="List Paragraph"/>
    <w:basedOn w:val="Normal"/>
    <w:uiPriority w:val="34"/>
    <w:qFormat/>
    <w:rsid w:val="00590491"/>
    <w:pPr>
      <w:ind w:left="720"/>
      <w:contextualSpacing/>
    </w:pPr>
  </w:style>
  <w:style w:type="character" w:styleId="IntenseEmphasis">
    <w:name w:val="Intense Emphasis"/>
    <w:basedOn w:val="DefaultParagraphFont"/>
    <w:uiPriority w:val="21"/>
    <w:qFormat/>
    <w:rsid w:val="00590491"/>
    <w:rPr>
      <w:i/>
      <w:iCs/>
      <w:color w:val="0F4761" w:themeColor="accent1" w:themeShade="BF"/>
    </w:rPr>
  </w:style>
  <w:style w:type="paragraph" w:styleId="IntenseQuote">
    <w:name w:val="Intense Quote"/>
    <w:basedOn w:val="Normal"/>
    <w:next w:val="Normal"/>
    <w:link w:val="IntenseQuoteChar"/>
    <w:uiPriority w:val="30"/>
    <w:qFormat/>
    <w:rsid w:val="00590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91"/>
    <w:rPr>
      <w:i/>
      <w:iCs/>
      <w:color w:val="0F4761" w:themeColor="accent1" w:themeShade="BF"/>
    </w:rPr>
  </w:style>
  <w:style w:type="character" w:styleId="IntenseReference">
    <w:name w:val="Intense Reference"/>
    <w:basedOn w:val="DefaultParagraphFont"/>
    <w:uiPriority w:val="32"/>
    <w:qFormat/>
    <w:rsid w:val="00590491"/>
    <w:rPr>
      <w:b/>
      <w:bCs/>
      <w:smallCaps/>
      <w:color w:val="0F4761" w:themeColor="accent1" w:themeShade="BF"/>
      <w:spacing w:val="5"/>
    </w:rPr>
  </w:style>
  <w:style w:type="paragraph" w:styleId="Header">
    <w:name w:val="header"/>
    <w:basedOn w:val="Normal"/>
    <w:link w:val="HeaderChar"/>
    <w:uiPriority w:val="99"/>
    <w:unhideWhenUsed/>
    <w:rsid w:val="00590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491"/>
  </w:style>
  <w:style w:type="paragraph" w:styleId="Footer">
    <w:name w:val="footer"/>
    <w:basedOn w:val="Normal"/>
    <w:link w:val="FooterChar"/>
    <w:uiPriority w:val="99"/>
    <w:unhideWhenUsed/>
    <w:rsid w:val="00590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491"/>
  </w:style>
  <w:style w:type="table" w:styleId="TableGrid">
    <w:name w:val="Table Grid"/>
    <w:basedOn w:val="TableNormal"/>
    <w:uiPriority w:val="39"/>
    <w:rsid w:val="0059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4F60"/>
    <w:rPr>
      <w:color w:val="467886" w:themeColor="hyperlink"/>
      <w:u w:val="single"/>
    </w:rPr>
  </w:style>
  <w:style w:type="character" w:styleId="UnresolvedMention">
    <w:name w:val="Unresolved Mention"/>
    <w:basedOn w:val="DefaultParagraphFont"/>
    <w:uiPriority w:val="99"/>
    <w:semiHidden/>
    <w:unhideWhenUsed/>
    <w:rsid w:val="00314F60"/>
    <w:rPr>
      <w:color w:val="605E5C"/>
      <w:shd w:val="clear" w:color="auto" w:fill="E1DFDD"/>
    </w:rPr>
  </w:style>
  <w:style w:type="character" w:styleId="FollowedHyperlink">
    <w:name w:val="FollowedHyperlink"/>
    <w:basedOn w:val="DefaultParagraphFont"/>
    <w:uiPriority w:val="99"/>
    <w:semiHidden/>
    <w:unhideWhenUsed/>
    <w:rsid w:val="00C57C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47963">
      <w:bodyDiv w:val="1"/>
      <w:marLeft w:val="0"/>
      <w:marRight w:val="0"/>
      <w:marTop w:val="0"/>
      <w:marBottom w:val="0"/>
      <w:divBdr>
        <w:top w:val="none" w:sz="0" w:space="0" w:color="auto"/>
        <w:left w:val="none" w:sz="0" w:space="0" w:color="auto"/>
        <w:bottom w:val="none" w:sz="0" w:space="0" w:color="auto"/>
        <w:right w:val="none" w:sz="0" w:space="0" w:color="auto"/>
      </w:divBdr>
    </w:div>
    <w:div w:id="17039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ukdsi/2017/9780111153277/cont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10/15/cont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equality-act-2010-advice-for-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D239502062641B9DB2461FD2BA492" ma:contentTypeVersion="6" ma:contentTypeDescription="Create a new document." ma:contentTypeScope="" ma:versionID="a8fa8041e92c43b278bdfbe4a2dc5040">
  <xsd:schema xmlns:xsd="http://www.w3.org/2001/XMLSchema" xmlns:xs="http://www.w3.org/2001/XMLSchema" xmlns:p="http://schemas.microsoft.com/office/2006/metadata/properties" xmlns:ns2="62b7007c-3d16-47e3-89f8-9d26f6d02c42" xmlns:ns3="18f20144-45de-4e5d-b5ad-eebeb10032d6" targetNamespace="http://schemas.microsoft.com/office/2006/metadata/properties" ma:root="true" ma:fieldsID="4b5247c8764281d416d72fc790d40732" ns2:_="" ns3:_="">
    <xsd:import namespace="62b7007c-3d16-47e3-89f8-9d26f6d02c42"/>
    <xsd:import namespace="18f20144-45de-4e5d-b5ad-eebeb10032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7007c-3d16-47e3-89f8-9d26f6d02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20144-45de-4e5d-b5ad-eebeb10032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61A69-872E-4242-8063-FEDF15011D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A1FF64-F8B7-4D7B-92FB-78B86217C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7007c-3d16-47e3-89f8-9d26f6d02c42"/>
    <ds:schemaRef ds:uri="18f20144-45de-4e5d-b5ad-eebeb1003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143BF-DB9B-4E77-BDE9-238017FDEE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Mackrory</dc:creator>
  <cp:keywords/>
  <dc:description/>
  <cp:lastModifiedBy>Rebecca Marshall</cp:lastModifiedBy>
  <cp:revision>2</cp:revision>
  <dcterms:created xsi:type="dcterms:W3CDTF">2025-10-17T15:25:00Z</dcterms:created>
  <dcterms:modified xsi:type="dcterms:W3CDTF">2025-10-17T15:25:00Z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0x0101006B3D239502062641B9DB2461FD2BA492</vt:lpwstr>
  </property>
</Properties>
</file>